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F3334" w14:textId="293D51CF" w:rsidR="00700718" w:rsidRPr="001C1A03" w:rsidRDefault="00700718" w:rsidP="00700718">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133</w:t>
      </w:r>
      <w:r w:rsidRPr="001C1A03">
        <w:rPr>
          <w:bCs/>
          <w:noProof w:val="0"/>
          <w:sz w:val="24"/>
          <w:szCs w:val="24"/>
          <w:lang w:val="en-US"/>
        </w:rPr>
        <w:tab/>
      </w:r>
      <w:r w:rsidR="00C06D63" w:rsidRPr="00C06D63">
        <w:rPr>
          <w:bCs/>
          <w:noProof w:val="0"/>
          <w:sz w:val="24"/>
          <w:szCs w:val="24"/>
          <w:lang w:val="en-US"/>
        </w:rPr>
        <w:t>R2-2600447</w:t>
      </w:r>
    </w:p>
    <w:p w14:paraId="15E990BB" w14:textId="6ADC2582" w:rsidR="004770F0" w:rsidRPr="00737122" w:rsidRDefault="00700718" w:rsidP="00700718">
      <w:pPr>
        <w:pStyle w:val="Header"/>
        <w:tabs>
          <w:tab w:val="right" w:pos="9639"/>
        </w:tabs>
        <w:rPr>
          <w:noProof w:val="0"/>
          <w:sz w:val="24"/>
          <w:szCs w:val="24"/>
          <w:lang w:val="da-DK"/>
        </w:rPr>
      </w:pPr>
      <w:r>
        <w:rPr>
          <w:bCs/>
          <w:sz w:val="24"/>
        </w:rPr>
        <w:t>Goteborg</w:t>
      </w:r>
      <w:r>
        <w:rPr>
          <w:rFonts w:eastAsia="SimSun"/>
          <w:sz w:val="24"/>
          <w:szCs w:val="24"/>
          <w:lang w:eastAsia="zh-CN"/>
        </w:rPr>
        <w:t xml:space="preserve">, Sweden, 9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13</w:t>
      </w:r>
      <w:r w:rsidRPr="0099316A">
        <w:rPr>
          <w:rFonts w:eastAsia="SimSun"/>
          <w:sz w:val="24"/>
          <w:szCs w:val="24"/>
          <w:lang w:eastAsia="zh-CN"/>
        </w:rPr>
        <w:t xml:space="preserve"> </w:t>
      </w:r>
      <w:r>
        <w:rPr>
          <w:rFonts w:eastAsia="SimSun"/>
          <w:sz w:val="24"/>
          <w:szCs w:val="24"/>
          <w:lang w:eastAsia="zh-CN"/>
        </w:rPr>
        <w:t>February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44686F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13ADBA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Functionalities</w:t>
      </w:r>
      <w:r w:rsidR="00994376">
        <w:rPr>
          <w:rFonts w:ascii="Arial" w:hAnsi="Arial" w:cs="Arial"/>
          <w:b/>
          <w:bCs/>
          <w:sz w:val="24"/>
          <w:lang w:val="en-US"/>
        </w:rPr>
        <w:t xml:space="preserve"> and Processing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E7F9725" w14:textId="0C2E9D0E" w:rsidR="00895E53" w:rsidRPr="00E43551" w:rsidRDefault="00775C8F" w:rsidP="00E43551">
      <w:pPr>
        <w:jc w:val="both"/>
        <w:rPr>
          <w:iCs/>
          <w:lang w:val="en-US"/>
        </w:rPr>
      </w:pPr>
      <w:r>
        <w:rPr>
          <w:iCs/>
          <w:lang w:val="en-US"/>
        </w:rPr>
        <w:t xml:space="preserve">In this paper, we will discuss some of the functions that have been defined for 5G NR, but </w:t>
      </w:r>
      <w:r w:rsidR="000B72BA">
        <w:rPr>
          <w:iCs/>
          <w:lang w:val="en-US"/>
        </w:rPr>
        <w:t>not y</w:t>
      </w:r>
      <w:r>
        <w:rPr>
          <w:iCs/>
          <w:lang w:val="en-US"/>
        </w:rPr>
        <w:t>et clear if 6GR should continue to support. Moreover, we also aim to present some views related to the aspects of SN unification as well as end-to-end latency.</w:t>
      </w:r>
    </w:p>
    <w:p w14:paraId="412AACBE" w14:textId="77777777" w:rsidR="00F33744" w:rsidRPr="00F33744" w:rsidRDefault="00F33744" w:rsidP="00F33744">
      <w:pPr>
        <w:tabs>
          <w:tab w:val="left" w:pos="426"/>
          <w:tab w:val="left" w:pos="567"/>
        </w:tabs>
        <w:rPr>
          <w:iCs/>
          <w:lang w:val="en-US"/>
        </w:rPr>
      </w:pPr>
    </w:p>
    <w:p w14:paraId="6E95CAE2" w14:textId="12B692F9" w:rsidR="008A104D" w:rsidRDefault="0008619D" w:rsidP="003E0705">
      <w:pPr>
        <w:pStyle w:val="Heading1"/>
        <w:rPr>
          <w:lang w:val="en-US"/>
        </w:rPr>
      </w:pPr>
      <w:r>
        <w:rPr>
          <w:lang w:val="en-US"/>
        </w:rPr>
        <w:t>Discussions</w:t>
      </w:r>
    </w:p>
    <w:p w14:paraId="5E1A462E" w14:textId="5B4173CD" w:rsidR="00603D6C" w:rsidRDefault="00010DBF" w:rsidP="002A0A28">
      <w:pPr>
        <w:pStyle w:val="Heading2"/>
        <w:jc w:val="both"/>
        <w:rPr>
          <w:lang w:val="en-US"/>
        </w:rPr>
      </w:pPr>
      <w:r>
        <w:rPr>
          <w:lang w:val="en-US"/>
        </w:rPr>
        <w:t>6GR User Plane Functionalities</w:t>
      </w:r>
    </w:p>
    <w:p w14:paraId="1D2E86A7" w14:textId="3A6D8E48" w:rsidR="00C617E9" w:rsidRDefault="00010DBF" w:rsidP="0008619D">
      <w:pPr>
        <w:jc w:val="both"/>
        <w:rPr>
          <w:lang w:val="en-US" w:eastAsia="en-GB"/>
        </w:rPr>
      </w:pPr>
      <w:r>
        <w:rPr>
          <w:lang w:val="en-US" w:eastAsia="en-GB"/>
        </w:rPr>
        <w:t>During RAN2 #132, we have agreed that 6GR user plane should support at least the following functionalities</w:t>
      </w:r>
      <w:r w:rsidR="003B4351">
        <w:rPr>
          <w:lang w:val="en-US" w:eastAsia="en-GB"/>
        </w:rPr>
        <w:t xml:space="preserve"> [1]</w:t>
      </w:r>
      <w:r>
        <w:rPr>
          <w:lang w:val="en-US" w:eastAsia="en-GB"/>
        </w:rPr>
        <w:t>:</w:t>
      </w:r>
    </w:p>
    <w:tbl>
      <w:tblPr>
        <w:tblStyle w:val="TableGrid"/>
        <w:tblW w:w="0" w:type="auto"/>
        <w:tblLook w:val="04A0" w:firstRow="1" w:lastRow="0" w:firstColumn="1" w:lastColumn="0" w:noHBand="0" w:noVBand="1"/>
      </w:tblPr>
      <w:tblGrid>
        <w:gridCol w:w="9350"/>
      </w:tblGrid>
      <w:tr w:rsidR="00010DBF" w14:paraId="16E2C8D6" w14:textId="77777777" w:rsidTr="00010DBF">
        <w:tc>
          <w:tcPr>
            <w:tcW w:w="9350" w:type="dxa"/>
          </w:tcPr>
          <w:p w14:paraId="3A0189C0" w14:textId="38DCF2A4" w:rsidR="00010DBF" w:rsidRPr="0073688F" w:rsidRDefault="0073688F" w:rsidP="0073688F">
            <w:pPr>
              <w:jc w:val="both"/>
              <w:rPr>
                <w:b/>
                <w:bCs/>
                <w:iCs/>
                <w:lang w:val="en-US"/>
              </w:rPr>
            </w:pPr>
            <w:r w:rsidRPr="0073688F">
              <w:rPr>
                <w:b/>
                <w:bCs/>
                <w:iCs/>
                <w:lang w:val="en-US"/>
              </w:rPr>
              <w:t>RAN2 #132 Agreement:</w:t>
            </w:r>
          </w:p>
          <w:p w14:paraId="54391FDD" w14:textId="3587E8FA" w:rsidR="00010DBF" w:rsidRPr="0038225D" w:rsidRDefault="00010DBF" w:rsidP="00010DBF">
            <w:pPr>
              <w:pStyle w:val="Doc-text2"/>
              <w:rPr>
                <w:b/>
                <w:bCs/>
              </w:rPr>
            </w:pPr>
            <w:r>
              <w:rPr>
                <w:b/>
                <w:bCs/>
              </w:rPr>
              <w:t>UP will at least s</w:t>
            </w:r>
            <w:r w:rsidRPr="0038225D">
              <w:rPr>
                <w:b/>
                <w:bCs/>
              </w:rPr>
              <w:t>upport</w:t>
            </w:r>
            <w:r>
              <w:rPr>
                <w:b/>
                <w:bCs/>
              </w:rPr>
              <w:t xml:space="preserve"> the following</w:t>
            </w:r>
            <w:r w:rsidRPr="0038225D">
              <w:rPr>
                <w:b/>
                <w:bCs/>
              </w:rPr>
              <w:t xml:space="preserve"> functionalities</w:t>
            </w:r>
          </w:p>
          <w:p w14:paraId="2E883AAD" w14:textId="77777777" w:rsidR="00010DBF" w:rsidRDefault="00010DBF" w:rsidP="00010DBF">
            <w:pPr>
              <w:pStyle w:val="Doc-text2"/>
              <w:numPr>
                <w:ilvl w:val="0"/>
                <w:numId w:val="110"/>
              </w:numPr>
            </w:pPr>
            <w:r w:rsidRPr="00DD3B34">
              <w:t>Data transfer</w:t>
            </w:r>
          </w:p>
          <w:p w14:paraId="3B3FCD13" w14:textId="77777777" w:rsidR="00010DBF" w:rsidRDefault="00010DBF" w:rsidP="00010DBF">
            <w:pPr>
              <w:pStyle w:val="Doc-text2"/>
              <w:numPr>
                <w:ilvl w:val="0"/>
                <w:numId w:val="110"/>
              </w:numP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19AB1DA8" w14:textId="77777777" w:rsidR="00010DBF" w:rsidRDefault="00010DBF" w:rsidP="00010DBF">
            <w:pPr>
              <w:pStyle w:val="Doc-text2"/>
              <w:numPr>
                <w:ilvl w:val="0"/>
                <w:numId w:val="110"/>
              </w:numPr>
            </w:pPr>
            <w:r w:rsidRPr="009C292D">
              <w:t>Security protection</w:t>
            </w:r>
            <w:r>
              <w:t xml:space="preserve"> (in coordination with SA3)</w:t>
            </w:r>
            <w:r w:rsidRPr="009C292D">
              <w:t>, Sequence numbering</w:t>
            </w:r>
            <w:r>
              <w:t xml:space="preserve">, Header compression (e.g. </w:t>
            </w:r>
            <w:r w:rsidRPr="009C292D">
              <w:t>ROHC</w:t>
            </w:r>
            <w:r>
              <w:t>, etc based on plenary discussion)</w:t>
            </w:r>
            <w:r w:rsidRPr="009C292D">
              <w:t xml:space="preserve">, </w:t>
            </w:r>
          </w:p>
          <w:p w14:paraId="549D8202" w14:textId="77777777" w:rsidR="00010DBF" w:rsidRDefault="00010DBF" w:rsidP="00010DBF">
            <w:pPr>
              <w:pStyle w:val="Doc-text2"/>
              <w:numPr>
                <w:ilvl w:val="0"/>
                <w:numId w:val="110"/>
              </w:numPr>
            </w:pPr>
            <w:r>
              <w:t xml:space="preserve">SDU </w:t>
            </w:r>
            <w:r w:rsidRPr="009C292D">
              <w:t>discard</w:t>
            </w:r>
          </w:p>
          <w:p w14:paraId="3991679C" w14:textId="77777777" w:rsidR="00010DBF" w:rsidRDefault="00010DBF" w:rsidP="00010DBF">
            <w:pPr>
              <w:pStyle w:val="Doc-text2"/>
              <w:numPr>
                <w:ilvl w:val="0"/>
                <w:numId w:val="110"/>
              </w:numPr>
            </w:pPr>
            <w:r w:rsidRPr="00382382">
              <w:t>Duplicate detection</w:t>
            </w:r>
            <w:r>
              <w:t xml:space="preserve"> at the receiver side</w:t>
            </w:r>
            <w:r w:rsidRPr="00382382">
              <w:rPr>
                <w:i/>
                <w:iCs/>
              </w:rPr>
              <w:t xml:space="preserve"> </w:t>
            </w:r>
            <w:r>
              <w:t xml:space="preserve">and discard </w:t>
            </w:r>
          </w:p>
          <w:p w14:paraId="1A40A032" w14:textId="77777777" w:rsidR="00010DBF" w:rsidRDefault="00010DBF" w:rsidP="00010DBF">
            <w:pPr>
              <w:pStyle w:val="Doc-text2"/>
              <w:numPr>
                <w:ilvl w:val="0"/>
                <w:numId w:val="110"/>
              </w:numPr>
            </w:pPr>
            <w:r>
              <w:t>In-order and out-of-order delivery.  Reordering.</w:t>
            </w:r>
          </w:p>
          <w:p w14:paraId="3C4E4D72" w14:textId="77777777" w:rsidR="00010DBF" w:rsidRPr="008C2D20" w:rsidRDefault="00010DBF" w:rsidP="00010DBF">
            <w:pPr>
              <w:pStyle w:val="Doc-text2"/>
              <w:numPr>
                <w:ilvl w:val="0"/>
                <w:numId w:val="110"/>
              </w:numPr>
            </w:pPr>
            <w:r w:rsidRPr="008C2D20">
              <w:t xml:space="preserve">(re)Segmentation of packets </w:t>
            </w:r>
            <w:r>
              <w:t>and re-assembly</w:t>
            </w:r>
          </w:p>
          <w:p w14:paraId="22FDD97F" w14:textId="77777777" w:rsidR="00010DBF" w:rsidRDefault="00010DBF" w:rsidP="00010DBF">
            <w:pPr>
              <w:pStyle w:val="Doc-text2"/>
              <w:numPr>
                <w:ilvl w:val="0"/>
                <w:numId w:val="110"/>
              </w:numPr>
            </w:pPr>
            <w:r w:rsidRPr="00B65B7F">
              <w:t>Logical channel prioritization and multiplexing</w:t>
            </w:r>
            <w:r>
              <w:t>/demultiplexing</w:t>
            </w:r>
          </w:p>
          <w:p w14:paraId="7F8D90C2" w14:textId="77777777" w:rsidR="00010DBF" w:rsidRDefault="00010DBF" w:rsidP="00010DBF">
            <w:pPr>
              <w:pStyle w:val="Doc-text2"/>
              <w:numPr>
                <w:ilvl w:val="0"/>
                <w:numId w:val="110"/>
              </w:numPr>
            </w:pPr>
            <w:r>
              <w:t xml:space="preserve">Scheduling information reporting </w:t>
            </w:r>
          </w:p>
          <w:p w14:paraId="74F76872" w14:textId="77777777" w:rsidR="00010DBF" w:rsidRDefault="00010DBF" w:rsidP="00010DBF">
            <w:pPr>
              <w:pStyle w:val="Doc-text2"/>
              <w:numPr>
                <w:ilvl w:val="0"/>
                <w:numId w:val="110"/>
              </w:numPr>
            </w:pPr>
            <w:r w:rsidRPr="001A57B1">
              <w:t xml:space="preserve">Transmission and retransmission </w:t>
            </w:r>
            <w:r>
              <w:t>(e.g. HARQ and ARQ like)</w:t>
            </w:r>
          </w:p>
          <w:p w14:paraId="526ED4ED" w14:textId="77777777" w:rsidR="00010DBF" w:rsidRDefault="00010DBF" w:rsidP="00010DBF">
            <w:pPr>
              <w:pStyle w:val="Doc-text2"/>
            </w:pPr>
            <w:r>
              <w:t xml:space="preserve">NOTE: Details of these functionalities will be further discussed </w:t>
            </w:r>
            <w:proofErr w:type="gramStart"/>
            <w:r>
              <w:t>later</w:t>
            </w:r>
            <w:proofErr w:type="gramEnd"/>
            <w:r>
              <w:t xml:space="preserve"> and the list is not exclusive </w:t>
            </w:r>
          </w:p>
          <w:p w14:paraId="00EB5727" w14:textId="77777777" w:rsidR="00010DBF" w:rsidRDefault="00010DBF" w:rsidP="00010DBF">
            <w:pPr>
              <w:pStyle w:val="Doc-text2"/>
            </w:pPr>
            <w:r>
              <w:t xml:space="preserve">NOTE: functions related to RAN1 aspects will be added and considered </w:t>
            </w:r>
            <w:proofErr w:type="gramStart"/>
            <w:r>
              <w:t>later on</w:t>
            </w:r>
            <w:proofErr w:type="gramEnd"/>
            <w:r>
              <w:t xml:space="preserve">.  </w:t>
            </w:r>
          </w:p>
          <w:p w14:paraId="784F57A8" w14:textId="77777777" w:rsidR="00010DBF" w:rsidRPr="00010DBF" w:rsidRDefault="00010DBF" w:rsidP="0008619D">
            <w:pPr>
              <w:jc w:val="both"/>
              <w:rPr>
                <w:lang w:eastAsia="en-GB"/>
              </w:rPr>
            </w:pPr>
          </w:p>
        </w:tc>
      </w:tr>
    </w:tbl>
    <w:p w14:paraId="0AF5D885" w14:textId="77777777" w:rsidR="00010DBF" w:rsidRDefault="00010DBF" w:rsidP="0008619D">
      <w:pPr>
        <w:jc w:val="both"/>
        <w:rPr>
          <w:lang w:val="en-US" w:eastAsia="en-GB"/>
        </w:rPr>
      </w:pPr>
    </w:p>
    <w:p w14:paraId="0924DE54" w14:textId="0508981E" w:rsidR="00010DBF" w:rsidRDefault="00010DBF" w:rsidP="0008619D">
      <w:pPr>
        <w:jc w:val="both"/>
        <w:rPr>
          <w:lang w:val="en-US" w:eastAsia="en-GB"/>
        </w:rPr>
      </w:pPr>
      <w:r>
        <w:rPr>
          <w:lang w:val="en-US" w:eastAsia="en-GB"/>
        </w:rPr>
        <w:t>By comparing these agreed functionalities to what have been specified in 5G/5G-A, we have identified a few features that RAN2 may further discuss to decide if these should be natively supported in 6G Day-1, namely:</w:t>
      </w:r>
    </w:p>
    <w:p w14:paraId="343EB9B5" w14:textId="07833C12" w:rsidR="00010DBF" w:rsidRDefault="00010DBF" w:rsidP="00010DBF">
      <w:pPr>
        <w:pStyle w:val="ListParagraph"/>
        <w:numPr>
          <w:ilvl w:val="0"/>
          <w:numId w:val="111"/>
        </w:numPr>
        <w:jc w:val="both"/>
        <w:rPr>
          <w:lang w:val="en-US" w:eastAsia="en-GB"/>
        </w:rPr>
      </w:pPr>
      <w:r>
        <w:rPr>
          <w:lang w:val="en-US" w:eastAsia="en-GB"/>
        </w:rPr>
        <w:lastRenderedPageBreak/>
        <w:t>Reflective QoS</w:t>
      </w:r>
    </w:p>
    <w:p w14:paraId="44707407" w14:textId="0E52D006" w:rsidR="00010DBF" w:rsidRDefault="00010DBF" w:rsidP="00010DBF">
      <w:pPr>
        <w:pStyle w:val="ListParagraph"/>
        <w:numPr>
          <w:ilvl w:val="0"/>
          <w:numId w:val="111"/>
        </w:numPr>
        <w:jc w:val="both"/>
        <w:rPr>
          <w:lang w:val="en-US" w:eastAsia="en-GB"/>
        </w:rPr>
      </w:pPr>
      <w:r>
        <w:rPr>
          <w:lang w:val="en-US" w:eastAsia="en-GB"/>
        </w:rPr>
        <w:t>Packet Duplication</w:t>
      </w:r>
    </w:p>
    <w:p w14:paraId="3A61A6B7" w14:textId="4344BA0C" w:rsidR="00010DBF" w:rsidRDefault="00010DBF" w:rsidP="00010DBF">
      <w:pPr>
        <w:pStyle w:val="ListParagraph"/>
        <w:numPr>
          <w:ilvl w:val="0"/>
          <w:numId w:val="111"/>
        </w:numPr>
        <w:jc w:val="both"/>
        <w:rPr>
          <w:lang w:val="en-US" w:eastAsia="en-GB"/>
        </w:rPr>
      </w:pPr>
      <w:r>
        <w:rPr>
          <w:lang w:val="en-US" w:eastAsia="en-GB"/>
        </w:rPr>
        <w:t>PDU Set Handling</w:t>
      </w:r>
    </w:p>
    <w:p w14:paraId="68199B9E" w14:textId="5AB56FD0" w:rsidR="00010DBF" w:rsidRPr="00010DBF" w:rsidRDefault="00010DBF" w:rsidP="00010DBF">
      <w:pPr>
        <w:pStyle w:val="ListParagraph"/>
        <w:numPr>
          <w:ilvl w:val="0"/>
          <w:numId w:val="111"/>
        </w:numPr>
        <w:jc w:val="both"/>
        <w:rPr>
          <w:lang w:val="en-US" w:eastAsia="en-GB"/>
        </w:rPr>
      </w:pPr>
      <w:r>
        <w:rPr>
          <w:lang w:val="en-US" w:eastAsia="en-GB"/>
        </w:rPr>
        <w:t>Intra-UE Prioritization</w:t>
      </w:r>
    </w:p>
    <w:p w14:paraId="30674E64" w14:textId="20F6662E" w:rsidR="00010DBF" w:rsidRPr="00010DBF" w:rsidRDefault="00010DBF" w:rsidP="00010DBF">
      <w:pPr>
        <w:jc w:val="both"/>
      </w:pPr>
      <w:r>
        <w:t xml:space="preserve">Reflective QoS was introduced to enable dynamic remapping between UL QoS flows and DRB. This feature requires the UE to monitor each downlink packet to generate the corresponding mapping rule, which can be quite complicated for UE implementation. Furthermore, it is not widely deployed in the field. With this in mind, we think Reflective QoS should not be inherent in 6GR. However, considering that more adaptive handling of QoS may be needed in 6GR, we think RAN2 can study if dynamic remapping between QoS flows and DRBs could be enabled in </w:t>
      </w:r>
      <w:r w:rsidR="00775C8F">
        <w:t xml:space="preserve">alternative and </w:t>
      </w:r>
      <w:r>
        <w:t>more efficient ways.</w:t>
      </w:r>
    </w:p>
    <w:p w14:paraId="1CF0825F" w14:textId="31E97844" w:rsidR="00C617E9" w:rsidRDefault="00C617E9" w:rsidP="00C617E9">
      <w:pPr>
        <w:jc w:val="both"/>
        <w:rPr>
          <w:b/>
          <w:bCs/>
          <w:iCs/>
        </w:rPr>
      </w:pPr>
      <w:r w:rsidRPr="00254897">
        <w:rPr>
          <w:b/>
          <w:bCs/>
          <w:iCs/>
        </w:rPr>
        <w:t xml:space="preserve">Proposal 1: </w:t>
      </w:r>
      <w:r w:rsidR="006D2218">
        <w:rPr>
          <w:b/>
          <w:bCs/>
          <w:iCs/>
        </w:rPr>
        <w:t xml:space="preserve">6GR does not need to support Reflective QoS. RAN2 can study other more efficient mechanisms to enable </w:t>
      </w:r>
      <w:r w:rsidR="00D231B4">
        <w:rPr>
          <w:b/>
          <w:bCs/>
          <w:iCs/>
        </w:rPr>
        <w:t>DRB remapping</w:t>
      </w:r>
      <w:r w:rsidR="006D2218">
        <w:rPr>
          <w:b/>
          <w:bCs/>
          <w:iCs/>
        </w:rPr>
        <w:t xml:space="preserve"> if there is a need.</w:t>
      </w:r>
    </w:p>
    <w:p w14:paraId="521999CA" w14:textId="77777777" w:rsidR="00010DBF" w:rsidRDefault="00010DBF" w:rsidP="00C617E9">
      <w:pPr>
        <w:jc w:val="both"/>
        <w:rPr>
          <w:b/>
          <w:bCs/>
          <w:iCs/>
        </w:rPr>
      </w:pPr>
    </w:p>
    <w:p w14:paraId="385D5A8C" w14:textId="7322D677" w:rsidR="00010DBF" w:rsidRPr="00010DBF" w:rsidRDefault="00010DBF" w:rsidP="00C617E9">
      <w:pPr>
        <w:jc w:val="both"/>
        <w:rPr>
          <w:iCs/>
        </w:rPr>
      </w:pPr>
      <w:r>
        <w:rPr>
          <w:iCs/>
        </w:rPr>
        <w:t xml:space="preserve">Packet duplication was introduced to improve reliability/latency performance by sending additional copies of a PDCP PDU via the secondary RLC leg within DRB. In Rel-16, up to 4 copies of a PDCP PDU can be sent to support more stringent performance requirement of Industrial IoT. Considering that we have already agreed that 6G user plane should aim to reduce latency even for </w:t>
      </w:r>
      <w:proofErr w:type="spellStart"/>
      <w:r>
        <w:rPr>
          <w:iCs/>
        </w:rPr>
        <w:t>eMBB</w:t>
      </w:r>
      <w:proofErr w:type="spellEnd"/>
      <w:r>
        <w:rPr>
          <w:iCs/>
        </w:rPr>
        <w:t xml:space="preserve"> traffic, packet duplication </w:t>
      </w:r>
      <w:r w:rsidR="00FB16EE">
        <w:rPr>
          <w:iCs/>
        </w:rPr>
        <w:t>could be useful from this point of view. However, in 5G this feature was not used much in the field, so this is also questionable if it will be more widely used in 6G. We think RAN2 can further discuss if 6GR should continue to support packet duplication, or if the low latency and high reliability performance requirements of certain 6G use cases can be fulfilled via a different approach.</w:t>
      </w:r>
    </w:p>
    <w:p w14:paraId="05321EE3" w14:textId="2AE6FCDA" w:rsidR="006D2218" w:rsidRDefault="006D2218" w:rsidP="006D2218">
      <w:pPr>
        <w:jc w:val="both"/>
        <w:rPr>
          <w:b/>
          <w:bCs/>
          <w:iCs/>
        </w:rPr>
      </w:pPr>
      <w:r w:rsidRPr="00254897">
        <w:rPr>
          <w:b/>
          <w:bCs/>
          <w:iCs/>
        </w:rPr>
        <w:t xml:space="preserve">Proposal </w:t>
      </w:r>
      <w:r w:rsidR="00010DBF">
        <w:rPr>
          <w:b/>
          <w:bCs/>
          <w:iCs/>
        </w:rPr>
        <w:t>2</w:t>
      </w:r>
      <w:r w:rsidRPr="00254897">
        <w:rPr>
          <w:b/>
          <w:bCs/>
          <w:iCs/>
        </w:rPr>
        <w:t xml:space="preserve">: </w:t>
      </w:r>
      <w:r w:rsidR="00FB16EE">
        <w:rPr>
          <w:b/>
          <w:bCs/>
          <w:iCs/>
        </w:rPr>
        <w:t xml:space="preserve">RAN2 can further discuss </w:t>
      </w:r>
      <w:r w:rsidR="003B4351">
        <w:rPr>
          <w:b/>
          <w:bCs/>
          <w:iCs/>
        </w:rPr>
        <w:t>if packet duplication should be employed to meet the latency/reliability requirement of certain 6G use cases.</w:t>
      </w:r>
    </w:p>
    <w:p w14:paraId="0B4D97D1" w14:textId="77777777" w:rsidR="00010DBF" w:rsidRDefault="00010DBF" w:rsidP="006D2218">
      <w:pPr>
        <w:jc w:val="both"/>
        <w:rPr>
          <w:b/>
          <w:bCs/>
          <w:iCs/>
        </w:rPr>
      </w:pPr>
    </w:p>
    <w:p w14:paraId="1347C634" w14:textId="7A41717B" w:rsidR="0073688F" w:rsidRPr="0073688F" w:rsidRDefault="0073688F" w:rsidP="006D2218">
      <w:pPr>
        <w:jc w:val="both"/>
        <w:rPr>
          <w:iCs/>
        </w:rPr>
      </w:pPr>
      <w:r>
        <w:rPr>
          <w:iCs/>
        </w:rPr>
        <w:t>The concept of PDU Set was defined during Rel-18 to support XR, in which some discarding mechanisms based on PDU Set have been introduced by RAN2 to improve resource efficiency and</w:t>
      </w:r>
      <w:r w:rsidR="00775C8F">
        <w:rPr>
          <w:iCs/>
        </w:rPr>
        <w:t xml:space="preserve"> to</w:t>
      </w:r>
      <w:r>
        <w:rPr>
          <w:iCs/>
        </w:rPr>
        <w:t xml:space="preserve"> handle congestions. Even though immersive communication is a key use case for 6G, currently it is unclear whether SA2/SA4 will continue to consider PDU Set related QoS. Thus, we suggest that RAN2 can de-prioritize the discussions related to PDU Set handling, until more conclusions are drawn by SA2/SA4.</w:t>
      </w:r>
    </w:p>
    <w:p w14:paraId="59CE30D6" w14:textId="3A1EC345" w:rsidR="0073688F" w:rsidRDefault="0073688F" w:rsidP="0073688F">
      <w:pPr>
        <w:jc w:val="both"/>
        <w:rPr>
          <w:b/>
          <w:bCs/>
          <w:iCs/>
        </w:rPr>
      </w:pPr>
      <w:r w:rsidRPr="00254897">
        <w:rPr>
          <w:b/>
          <w:bCs/>
          <w:iCs/>
        </w:rPr>
        <w:t xml:space="preserve">Proposal </w:t>
      </w:r>
      <w:r>
        <w:rPr>
          <w:b/>
          <w:bCs/>
          <w:iCs/>
        </w:rPr>
        <w:t>3</w:t>
      </w:r>
      <w:r w:rsidRPr="00254897">
        <w:rPr>
          <w:b/>
          <w:bCs/>
          <w:iCs/>
        </w:rPr>
        <w:t xml:space="preserve">: </w:t>
      </w:r>
      <w:r>
        <w:rPr>
          <w:b/>
          <w:bCs/>
          <w:iCs/>
        </w:rPr>
        <w:t xml:space="preserve">RAN2 can de-prioritize the discussions about whether PDU Set handling is supported in 6GR, until more progress </w:t>
      </w:r>
      <w:r w:rsidR="00775C8F">
        <w:rPr>
          <w:b/>
          <w:bCs/>
          <w:iCs/>
        </w:rPr>
        <w:t>is</w:t>
      </w:r>
      <w:r>
        <w:rPr>
          <w:b/>
          <w:bCs/>
          <w:iCs/>
        </w:rPr>
        <w:t xml:space="preserve"> made by SA2/SA4.</w:t>
      </w:r>
    </w:p>
    <w:p w14:paraId="781DF8B1" w14:textId="77777777" w:rsidR="0073688F" w:rsidRDefault="0073688F" w:rsidP="006D2218">
      <w:pPr>
        <w:jc w:val="both"/>
        <w:rPr>
          <w:b/>
          <w:bCs/>
          <w:iCs/>
        </w:rPr>
      </w:pPr>
    </w:p>
    <w:p w14:paraId="5107ECCE" w14:textId="7BEA0E25" w:rsidR="0073688F" w:rsidRPr="0073688F" w:rsidRDefault="0073688F" w:rsidP="006D2218">
      <w:pPr>
        <w:jc w:val="both"/>
        <w:rPr>
          <w:iCs/>
        </w:rPr>
      </w:pPr>
      <w:r>
        <w:rPr>
          <w:iCs/>
        </w:rPr>
        <w:t xml:space="preserve">The function of intra-UE prioritization enables the UE to select one of the overlapping grants for UL transmission. In MAC layer, the UE may be configured to prioritize the grant that is used </w:t>
      </w:r>
      <w:r w:rsidR="00775C8F">
        <w:rPr>
          <w:iCs/>
        </w:rPr>
        <w:t xml:space="preserve">(or can be used) </w:t>
      </w:r>
      <w:r>
        <w:rPr>
          <w:iCs/>
        </w:rPr>
        <w:t xml:space="preserve">for transmission of data from higher priority logical channel. In PHY layer, the DCI may also be used to indicate the L1 priority of a grant, such that the UE knows which of the overlapping grant should be prioritized. Even though the feature was introduced to make sure more delay-sensitive traffic can be transmitted first, which may fit the goal of reducing latency in 6G, </w:t>
      </w:r>
      <w:r w:rsidR="00775C8F">
        <w:rPr>
          <w:iCs/>
        </w:rPr>
        <w:t xml:space="preserve">the feature resulted in a lot of complications in </w:t>
      </w:r>
      <w:r w:rsidR="00B81C36">
        <w:rPr>
          <w:iCs/>
        </w:rPr>
        <w:t xml:space="preserve">the </w:t>
      </w:r>
      <w:r w:rsidR="00775C8F">
        <w:rPr>
          <w:iCs/>
        </w:rPr>
        <w:t>specification</w:t>
      </w:r>
      <w:r w:rsidR="00B81C36">
        <w:rPr>
          <w:iCs/>
        </w:rPr>
        <w:t xml:space="preserve">s </w:t>
      </w:r>
      <w:r w:rsidR="00775C8F">
        <w:rPr>
          <w:iCs/>
        </w:rPr>
        <w:t>and implementations</w:t>
      </w:r>
      <w:r>
        <w:rPr>
          <w:iCs/>
        </w:rPr>
        <w:t xml:space="preserve">. We believe this is not a common scenario for a UE to receive multiple grants overlapping in time, as a properly implemented network scheduler should be able to avoid such case as much possible. Hence, we think there is insufficient justification to support intra-UE prioritization </w:t>
      </w:r>
      <w:r w:rsidR="00B81C36">
        <w:rPr>
          <w:iCs/>
        </w:rPr>
        <w:t>from</w:t>
      </w:r>
      <w:r>
        <w:rPr>
          <w:iCs/>
        </w:rPr>
        <w:t xml:space="preserve"> 6G Day-1.</w:t>
      </w:r>
    </w:p>
    <w:p w14:paraId="107EBB6F" w14:textId="0CD546B6" w:rsidR="00B531AF" w:rsidRDefault="00B531AF" w:rsidP="00B531AF">
      <w:pPr>
        <w:jc w:val="both"/>
        <w:rPr>
          <w:b/>
          <w:bCs/>
          <w:iCs/>
        </w:rPr>
      </w:pPr>
      <w:r w:rsidRPr="00254897">
        <w:rPr>
          <w:b/>
          <w:bCs/>
          <w:iCs/>
        </w:rPr>
        <w:t xml:space="preserve">Proposal </w:t>
      </w:r>
      <w:r>
        <w:rPr>
          <w:b/>
          <w:bCs/>
          <w:iCs/>
        </w:rPr>
        <w:t>4</w:t>
      </w:r>
      <w:r w:rsidRPr="00254897">
        <w:rPr>
          <w:b/>
          <w:bCs/>
          <w:iCs/>
        </w:rPr>
        <w:t xml:space="preserve">: </w:t>
      </w:r>
      <w:r w:rsidR="0073688F">
        <w:rPr>
          <w:b/>
          <w:bCs/>
          <w:iCs/>
        </w:rPr>
        <w:t>6GR does not need to support intra-UE prioritization.</w:t>
      </w:r>
    </w:p>
    <w:p w14:paraId="243FD3E0" w14:textId="77777777" w:rsidR="0008619D" w:rsidRDefault="0008619D" w:rsidP="0008619D">
      <w:pPr>
        <w:rPr>
          <w:lang w:val="en-US"/>
        </w:rPr>
      </w:pPr>
    </w:p>
    <w:p w14:paraId="0CE9FBED" w14:textId="651927BC" w:rsidR="003E3026" w:rsidRPr="003E3026" w:rsidRDefault="0073688F" w:rsidP="0073688F">
      <w:pPr>
        <w:pStyle w:val="Heading2"/>
        <w:jc w:val="both"/>
        <w:rPr>
          <w:iCs/>
          <w:lang w:val="en-US"/>
        </w:rPr>
      </w:pPr>
      <w:r>
        <w:rPr>
          <w:lang w:val="en-US"/>
        </w:rPr>
        <w:lastRenderedPageBreak/>
        <w:t>Single Sequence Number</w:t>
      </w:r>
    </w:p>
    <w:p w14:paraId="5995EA03" w14:textId="58F60A00" w:rsidR="00265356" w:rsidRDefault="0073688F" w:rsidP="00265356">
      <w:pPr>
        <w:jc w:val="both"/>
        <w:rPr>
          <w:iCs/>
          <w:lang w:val="en-US"/>
        </w:rPr>
      </w:pPr>
      <w:r>
        <w:rPr>
          <w:iCs/>
          <w:lang w:val="en-US"/>
        </w:rPr>
        <w:t xml:space="preserve">In RAN2 #132, most companies acknowledged that it is beneficial to unify the sequence number (SN) between PDCP and RLC. One of the motivations to have single SN is to reduce </w:t>
      </w:r>
      <w:proofErr w:type="spellStart"/>
      <w:r>
        <w:rPr>
          <w:iCs/>
          <w:lang w:val="en-US"/>
        </w:rPr>
        <w:t>signalling</w:t>
      </w:r>
      <w:proofErr w:type="spellEnd"/>
      <w:r>
        <w:rPr>
          <w:iCs/>
          <w:lang w:val="en-US"/>
        </w:rPr>
        <w:t xml:space="preserve"> overhead. As there is no need to include RLC SN in the L2 header, we can save e.g. 12bits or 18bits in one AMD PDU as compared to 5G NR.  We have reached the following agreement:</w:t>
      </w:r>
    </w:p>
    <w:tbl>
      <w:tblPr>
        <w:tblStyle w:val="TableGrid"/>
        <w:tblW w:w="0" w:type="auto"/>
        <w:tblLook w:val="04A0" w:firstRow="1" w:lastRow="0" w:firstColumn="1" w:lastColumn="0" w:noHBand="0" w:noVBand="1"/>
      </w:tblPr>
      <w:tblGrid>
        <w:gridCol w:w="9350"/>
      </w:tblGrid>
      <w:tr w:rsidR="0073688F" w14:paraId="35EB6ED3" w14:textId="77777777" w:rsidTr="0073688F">
        <w:tc>
          <w:tcPr>
            <w:tcW w:w="9350" w:type="dxa"/>
          </w:tcPr>
          <w:p w14:paraId="7A031F42" w14:textId="77777777" w:rsidR="0073688F" w:rsidRPr="0073688F" w:rsidRDefault="0073688F" w:rsidP="00265356">
            <w:pPr>
              <w:jc w:val="both"/>
              <w:rPr>
                <w:b/>
                <w:bCs/>
                <w:iCs/>
                <w:lang w:val="en-US"/>
              </w:rPr>
            </w:pPr>
            <w:r w:rsidRPr="0073688F">
              <w:rPr>
                <w:b/>
                <w:bCs/>
                <w:iCs/>
                <w:lang w:val="en-US"/>
              </w:rPr>
              <w:t>RAN2 #132 Agreement:</w:t>
            </w:r>
          </w:p>
          <w:p w14:paraId="75425004" w14:textId="77777777" w:rsidR="0073688F" w:rsidRDefault="0073688F" w:rsidP="0073688F">
            <w:pPr>
              <w:pStyle w:val="Agreement"/>
              <w:tabs>
                <w:tab w:val="clear" w:pos="1009"/>
                <w:tab w:val="clear" w:pos="1980"/>
                <w:tab w:val="num" w:pos="1619"/>
              </w:tabs>
              <w:ind w:left="1619"/>
            </w:pPr>
            <w:r>
              <w:t>Study how to design UP with a single sequence numbering functionality for standalone operation</w:t>
            </w:r>
          </w:p>
          <w:p w14:paraId="23A96DF1" w14:textId="63F48D29" w:rsidR="00C17AE6" w:rsidRPr="00C17AE6" w:rsidRDefault="00C17AE6" w:rsidP="00C17AE6">
            <w:pPr>
              <w:rPr>
                <w:lang w:eastAsia="en-GB"/>
              </w:rPr>
            </w:pPr>
          </w:p>
        </w:tc>
      </w:tr>
    </w:tbl>
    <w:p w14:paraId="31E324B6" w14:textId="77777777" w:rsidR="0073688F" w:rsidRDefault="0073688F" w:rsidP="00265356">
      <w:pPr>
        <w:jc w:val="both"/>
        <w:rPr>
          <w:iCs/>
          <w:lang w:val="en-US"/>
        </w:rPr>
      </w:pPr>
    </w:p>
    <w:p w14:paraId="1CB85FFF" w14:textId="742D6EE0" w:rsidR="0073688F" w:rsidRDefault="0073688F" w:rsidP="00265356">
      <w:pPr>
        <w:jc w:val="both"/>
        <w:rPr>
          <w:iCs/>
          <w:lang w:val="en-US"/>
        </w:rPr>
      </w:pPr>
      <w:r>
        <w:rPr>
          <w:iCs/>
          <w:lang w:val="en-US"/>
        </w:rPr>
        <w:t>In 5G NR, PDCP layer and RLC layer maintains its own SN space and retransmission mechanisms. With RLC-AM, the transmitter determines which RLC SDUs should be retransmitted based on the RLC SN that are positively or negatively acknowledged in the status report. Similarly, the PDCP layer performs retransmissions (for RRC procedures</w:t>
      </w:r>
      <w:proofErr w:type="gramStart"/>
      <w:r>
        <w:rPr>
          <w:iCs/>
          <w:lang w:val="en-US"/>
        </w:rPr>
        <w:t>)</w:t>
      </w:r>
      <w:proofErr w:type="gramEnd"/>
      <w:r>
        <w:rPr>
          <w:iCs/>
          <w:lang w:val="en-US"/>
        </w:rPr>
        <w:t xml:space="preserve"> and packet reordering based on their PDCP SN. When there is only one single SN across PDCP and RLC, it seems the retransmission mechanism across the two protocol layers become redundant. Thus, we think RAN2 can </w:t>
      </w:r>
      <w:r w:rsidR="00C8165B">
        <w:rPr>
          <w:iCs/>
          <w:lang w:val="en-US"/>
        </w:rPr>
        <w:t xml:space="preserve">further study if this is beneficial to </w:t>
      </w:r>
      <w:r>
        <w:rPr>
          <w:iCs/>
          <w:lang w:val="en-US"/>
        </w:rPr>
        <w:t>integrat</w:t>
      </w:r>
      <w:r w:rsidR="00C8165B">
        <w:rPr>
          <w:iCs/>
          <w:lang w:val="en-US"/>
        </w:rPr>
        <w:t>e</w:t>
      </w:r>
      <w:r>
        <w:rPr>
          <w:iCs/>
          <w:lang w:val="en-US"/>
        </w:rPr>
        <w:t xml:space="preserve"> PDCP and RLC retransmission mechanisms into one single </w:t>
      </w:r>
      <w:r w:rsidR="00087D42">
        <w:rPr>
          <w:iCs/>
          <w:lang w:val="en-US"/>
        </w:rPr>
        <w:t>functionality</w:t>
      </w:r>
      <w:r w:rsidR="00C8165B">
        <w:rPr>
          <w:iCs/>
          <w:lang w:val="en-US"/>
        </w:rPr>
        <w:t>, or if this is better to keep them separate as today.</w:t>
      </w:r>
    </w:p>
    <w:p w14:paraId="393E25AD" w14:textId="629C89C6" w:rsidR="0073688F" w:rsidRDefault="0073688F" w:rsidP="0073688F">
      <w:pPr>
        <w:jc w:val="both"/>
        <w:rPr>
          <w:b/>
          <w:bCs/>
          <w:iCs/>
        </w:rPr>
      </w:pPr>
      <w:r w:rsidRPr="00254897">
        <w:rPr>
          <w:b/>
          <w:bCs/>
          <w:iCs/>
        </w:rPr>
        <w:t xml:space="preserve">Proposal </w:t>
      </w:r>
      <w:r>
        <w:rPr>
          <w:b/>
          <w:bCs/>
          <w:iCs/>
        </w:rPr>
        <w:t>5</w:t>
      </w:r>
      <w:r w:rsidRPr="00254897">
        <w:rPr>
          <w:b/>
          <w:bCs/>
          <w:iCs/>
        </w:rPr>
        <w:t xml:space="preserve">: </w:t>
      </w:r>
      <w:r>
        <w:rPr>
          <w:b/>
          <w:bCs/>
          <w:iCs/>
        </w:rPr>
        <w:t xml:space="preserve">With single sequence number (SN), RAN2 can </w:t>
      </w:r>
      <w:r w:rsidR="00C8165B">
        <w:rPr>
          <w:b/>
          <w:bCs/>
          <w:iCs/>
        </w:rPr>
        <w:t>study</w:t>
      </w:r>
      <w:r>
        <w:rPr>
          <w:b/>
          <w:bCs/>
          <w:iCs/>
        </w:rPr>
        <w:t xml:space="preserve"> i</w:t>
      </w:r>
      <w:r w:rsidR="00C8165B">
        <w:rPr>
          <w:b/>
          <w:bCs/>
          <w:iCs/>
        </w:rPr>
        <w:t>f</w:t>
      </w:r>
      <w:r>
        <w:rPr>
          <w:b/>
          <w:bCs/>
          <w:iCs/>
        </w:rPr>
        <w:t xml:space="preserve"> L2 retransmission mechanisms of PDCP and RLC </w:t>
      </w:r>
      <w:r w:rsidR="00C8165B">
        <w:rPr>
          <w:b/>
          <w:bCs/>
          <w:iCs/>
        </w:rPr>
        <w:t>should be merged</w:t>
      </w:r>
      <w:r>
        <w:rPr>
          <w:b/>
          <w:bCs/>
          <w:iCs/>
        </w:rPr>
        <w:t>.</w:t>
      </w:r>
    </w:p>
    <w:p w14:paraId="53AE9099" w14:textId="77777777" w:rsidR="0073688F" w:rsidRPr="0073688F" w:rsidRDefault="0073688F" w:rsidP="00265356">
      <w:pPr>
        <w:jc w:val="both"/>
        <w:rPr>
          <w:iCs/>
        </w:rPr>
      </w:pPr>
    </w:p>
    <w:p w14:paraId="7AA96CD2" w14:textId="03590807" w:rsidR="0073688F" w:rsidRDefault="0008619D" w:rsidP="0073688F">
      <w:pPr>
        <w:pStyle w:val="Heading2"/>
        <w:jc w:val="both"/>
        <w:rPr>
          <w:lang w:val="en-US"/>
        </w:rPr>
      </w:pPr>
      <w:r>
        <w:rPr>
          <w:lang w:val="en-US" w:eastAsia="en-GB"/>
        </w:rPr>
        <w:t xml:space="preserve"> </w:t>
      </w:r>
      <w:r w:rsidR="0049028B">
        <w:rPr>
          <w:lang w:val="en-US"/>
        </w:rPr>
        <w:t>Impacts of Tethering Link Jitter to</w:t>
      </w:r>
      <w:r w:rsidR="0073688F">
        <w:rPr>
          <w:lang w:val="en-US"/>
        </w:rPr>
        <w:t xml:space="preserve"> End-to-End Latency</w:t>
      </w:r>
    </w:p>
    <w:p w14:paraId="7B5FF7E8" w14:textId="4415DABC" w:rsidR="0073688F" w:rsidRDefault="0073688F" w:rsidP="0073688F">
      <w:pPr>
        <w:jc w:val="both"/>
        <w:rPr>
          <w:lang w:val="en-US"/>
        </w:rPr>
      </w:pPr>
      <w:r>
        <w:rPr>
          <w:lang w:val="en-US"/>
        </w:rPr>
        <w:t>In RAN2 #131bis, we have agreed that 6GR user plane design should aim to reduce both end-to-end and air interface latency:</w:t>
      </w:r>
    </w:p>
    <w:tbl>
      <w:tblPr>
        <w:tblStyle w:val="TableGrid"/>
        <w:tblW w:w="0" w:type="auto"/>
        <w:tblLook w:val="04A0" w:firstRow="1" w:lastRow="0" w:firstColumn="1" w:lastColumn="0" w:noHBand="0" w:noVBand="1"/>
      </w:tblPr>
      <w:tblGrid>
        <w:gridCol w:w="9350"/>
      </w:tblGrid>
      <w:tr w:rsidR="0073688F" w14:paraId="6AB43A16" w14:textId="77777777" w:rsidTr="0073688F">
        <w:tc>
          <w:tcPr>
            <w:tcW w:w="9350" w:type="dxa"/>
          </w:tcPr>
          <w:p w14:paraId="115C3394" w14:textId="6F7DEAB4" w:rsidR="0073688F" w:rsidRPr="0073688F" w:rsidRDefault="0073688F" w:rsidP="0073688F">
            <w:pPr>
              <w:rPr>
                <w:b/>
                <w:bCs/>
                <w:iCs/>
                <w:lang w:val="en-US"/>
              </w:rPr>
            </w:pPr>
            <w:r w:rsidRPr="0073688F">
              <w:rPr>
                <w:b/>
                <w:bCs/>
                <w:iCs/>
                <w:lang w:val="en-US"/>
              </w:rPr>
              <w:t>RAN2 #13</w:t>
            </w:r>
            <w:r>
              <w:rPr>
                <w:b/>
                <w:bCs/>
                <w:iCs/>
                <w:lang w:val="en-US"/>
              </w:rPr>
              <w:t>1bis</w:t>
            </w:r>
            <w:r w:rsidRPr="0073688F">
              <w:rPr>
                <w:b/>
                <w:bCs/>
                <w:iCs/>
                <w:lang w:val="en-US"/>
              </w:rPr>
              <w:t xml:space="preserve"> Agreement:</w:t>
            </w:r>
          </w:p>
          <w:p w14:paraId="19335C2E" w14:textId="57DE2064" w:rsidR="0073688F" w:rsidRPr="0073688F" w:rsidRDefault="00C17AE6" w:rsidP="0073688F">
            <w:pPr>
              <w:pStyle w:val="Agreement"/>
              <w:tabs>
                <w:tab w:val="clear" w:pos="1009"/>
                <w:tab w:val="clear" w:pos="1980"/>
                <w:tab w:val="num" w:pos="1619"/>
              </w:tabs>
              <w:ind w:left="1619"/>
            </w:pPr>
            <w:r w:rsidRPr="008E01AD">
              <w:t xml:space="preserve">6G user plane should aim to reduce the radio and </w:t>
            </w:r>
            <w:r w:rsidRPr="00C17AE6">
              <w:rPr>
                <w:highlight w:val="yellow"/>
              </w:rPr>
              <w:t>end-to-end</w:t>
            </w:r>
            <w:r w:rsidRPr="008E01AD">
              <w:t xml:space="preserve"> </w:t>
            </w:r>
            <w:r w:rsidRPr="00C17AE6">
              <w:rPr>
                <w:highlight w:val="yellow"/>
              </w:rPr>
              <w:t>latency</w:t>
            </w:r>
            <w:r w:rsidRPr="008E01AD">
              <w:t xml:space="preserve"> for </w:t>
            </w:r>
            <w:r>
              <w:t xml:space="preserve">general services (including </w:t>
            </w:r>
            <w:proofErr w:type="spellStart"/>
            <w:r>
              <w:t>eMBB</w:t>
            </w:r>
            <w:proofErr w:type="spellEnd"/>
            <w:r>
              <w:t xml:space="preserve">)   </w:t>
            </w:r>
          </w:p>
          <w:p w14:paraId="7DD18A51" w14:textId="77777777" w:rsidR="0073688F" w:rsidRDefault="0073688F" w:rsidP="0073688F"/>
        </w:tc>
      </w:tr>
    </w:tbl>
    <w:p w14:paraId="5FEA12E6" w14:textId="50C0B28B" w:rsidR="0008619D" w:rsidRDefault="0008619D" w:rsidP="00265356">
      <w:pPr>
        <w:jc w:val="both"/>
      </w:pPr>
    </w:p>
    <w:p w14:paraId="5EC992E2" w14:textId="53BD82CF" w:rsidR="00C17AE6" w:rsidRDefault="00C17AE6" w:rsidP="00265356">
      <w:pPr>
        <w:jc w:val="both"/>
      </w:pPr>
      <w:r>
        <w:t xml:space="preserve">In our understanding, “end-to-end latency” refers to the delay experienced by a packet between the Application layers of the transmitter side and the receiver side. For the end user, typically it is assumed that Application and cellular baseband modules are co-located in one device, and hence the delay occurs between Application layer and AS is negligible. However, this assumption </w:t>
      </w:r>
      <w:r w:rsidR="00087D42">
        <w:t>may not</w:t>
      </w:r>
      <w:r>
        <w:t xml:space="preserve"> </w:t>
      </w:r>
      <w:r w:rsidR="00087D42">
        <w:t xml:space="preserve">be </w:t>
      </w:r>
      <w:r>
        <w:t>always valid</w:t>
      </w:r>
      <w:r w:rsidR="00087D42">
        <w:t xml:space="preserve"> in 6GR considering immersive XR use cases</w:t>
      </w:r>
      <w:r>
        <w:t xml:space="preserve">. </w:t>
      </w:r>
    </w:p>
    <w:p w14:paraId="1268DDD0" w14:textId="5C11D063" w:rsidR="00C17AE6" w:rsidRDefault="00C17AE6" w:rsidP="00265356">
      <w:pPr>
        <w:jc w:val="both"/>
      </w:pPr>
      <w:r>
        <w:t xml:space="preserve">To achieve the best user experience, it is desirable to minimize the size, weight, and power consumption of XR headset. As a result, many XR headset may not have the built-in cellular connectivity. In such cases, the XR headset may have to be tethered to another UE (e.g. as a Personal Hot Spot) to get cellular services. Apparently, this wireless tethering link (typically based on </w:t>
      </w:r>
      <w:proofErr w:type="spellStart"/>
      <w:r>
        <w:t>WiFi</w:t>
      </w:r>
      <w:proofErr w:type="spellEnd"/>
      <w:r>
        <w:t xml:space="preserve"> or Bluetooth) can result in a large </w:t>
      </w:r>
      <w:r w:rsidR="008E0563">
        <w:t>UL jitter delay (e.g. tens of milliseconds)</w:t>
      </w:r>
      <w:r>
        <w:t xml:space="preserve"> between Application hosted by the XR headset and the AS protocol in the UE, which may significantly degrade the end-to-end latency performance.</w:t>
      </w:r>
    </w:p>
    <w:p w14:paraId="649C53A7" w14:textId="77777777" w:rsidR="00087D42" w:rsidRDefault="00087D42" w:rsidP="00087D42">
      <w:pPr>
        <w:keepNext/>
        <w:jc w:val="center"/>
      </w:pPr>
      <w:r w:rsidRPr="00087D42">
        <w:rPr>
          <w:noProof/>
        </w:rPr>
        <w:lastRenderedPageBreak/>
        <w:drawing>
          <wp:inline distT="0" distB="0" distL="0" distR="0" wp14:anchorId="5CA2BE50" wp14:editId="0DC5A469">
            <wp:extent cx="5918808" cy="1212850"/>
            <wp:effectExtent l="0" t="0" r="0" b="0"/>
            <wp:docPr id="779284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84811" name=""/>
                    <pic:cNvPicPr/>
                  </pic:nvPicPr>
                  <pic:blipFill>
                    <a:blip r:embed="rId13"/>
                    <a:stretch>
                      <a:fillRect/>
                    </a:stretch>
                  </pic:blipFill>
                  <pic:spPr>
                    <a:xfrm>
                      <a:off x="0" y="0"/>
                      <a:ext cx="6077857" cy="1245442"/>
                    </a:xfrm>
                    <a:prstGeom prst="rect">
                      <a:avLst/>
                    </a:prstGeom>
                  </pic:spPr>
                </pic:pic>
              </a:graphicData>
            </a:graphic>
          </wp:inline>
        </w:drawing>
      </w:r>
    </w:p>
    <w:p w14:paraId="252237B1" w14:textId="36762D6D" w:rsidR="00087D42" w:rsidRDefault="00087D42" w:rsidP="00087D42">
      <w:pPr>
        <w:pStyle w:val="Caption"/>
        <w:jc w:val="center"/>
      </w:pPr>
      <w:r>
        <w:t xml:space="preserve">Figure </w:t>
      </w:r>
      <w:fldSimple w:instr=" SEQ Figure \* ARABIC ">
        <w:r>
          <w:rPr>
            <w:noProof/>
          </w:rPr>
          <w:t>1</w:t>
        </w:r>
      </w:fldSimple>
      <w:r>
        <w:t xml:space="preserve"> An illustration of end-to-end latency budget of a tethering use case</w:t>
      </w:r>
    </w:p>
    <w:p w14:paraId="583780FA" w14:textId="613EDB82" w:rsidR="00C17AE6" w:rsidRPr="00265356" w:rsidRDefault="00C17AE6" w:rsidP="00265356">
      <w:pPr>
        <w:jc w:val="both"/>
      </w:pPr>
      <w:r>
        <w:t xml:space="preserve">In Rel-18 XR, we have </w:t>
      </w:r>
      <w:r w:rsidR="0094712D">
        <w:t xml:space="preserve">made an agreement that RAN2 should consider tethering use cases. Correspondingly, we have </w:t>
      </w:r>
      <w:r>
        <w:t xml:space="preserve">introduced the UAI that </w:t>
      </w:r>
      <w:r w:rsidR="0094712D">
        <w:t xml:space="preserve">allows the UE to </w:t>
      </w:r>
      <w:r>
        <w:t>indicate the average jitter</w:t>
      </w:r>
      <w:r w:rsidR="0094712D">
        <w:t xml:space="preserve"> caused by the tethering link of uplink traffic arrival</w:t>
      </w:r>
      <w:r>
        <w:t>.</w:t>
      </w:r>
      <w:r w:rsidR="0094712D">
        <w:t xml:space="preserve"> This information could be used by the network to determine a proper </w:t>
      </w:r>
      <w:r w:rsidR="00772AAB">
        <w:t>configuration of DRX and/or configured grant cadence.</w:t>
      </w:r>
      <w:r>
        <w:t xml:space="preserve"> However, as the jitter experienced by each </w:t>
      </w:r>
      <w:r w:rsidR="00772AAB">
        <w:t xml:space="preserve">single </w:t>
      </w:r>
      <w:r>
        <w:t xml:space="preserve">packet is random and can dynamically change, we think </w:t>
      </w:r>
      <w:r w:rsidR="00772AAB">
        <w:t xml:space="preserve">Rel-18 UAI of average jitter may be insufficient to facilitate end-to-end latency performance. Conversely, </w:t>
      </w:r>
      <w:r>
        <w:t xml:space="preserve">some user plane enhancement </w:t>
      </w:r>
      <w:r w:rsidR="00772AAB">
        <w:t>to cope with</w:t>
      </w:r>
      <w:r>
        <w:t xml:space="preserve"> jitter </w:t>
      </w:r>
      <w:r w:rsidR="00772AAB">
        <w:t xml:space="preserve">in a more dynamic fashion </w:t>
      </w:r>
      <w:r>
        <w:t xml:space="preserve">may be </w:t>
      </w:r>
      <w:r w:rsidR="00772AAB">
        <w:t>more useful for</w:t>
      </w:r>
      <w:r>
        <w:t xml:space="preserve"> 6GR.</w:t>
      </w:r>
    </w:p>
    <w:p w14:paraId="68FE0856" w14:textId="7FEC562F" w:rsidR="00D3781F" w:rsidRDefault="00D3781F" w:rsidP="00D3781F">
      <w:pPr>
        <w:jc w:val="both"/>
        <w:rPr>
          <w:b/>
          <w:bCs/>
          <w:iCs/>
        </w:rPr>
      </w:pPr>
      <w:r w:rsidRPr="00254897">
        <w:rPr>
          <w:b/>
          <w:bCs/>
          <w:iCs/>
        </w:rPr>
        <w:t xml:space="preserve">Proposal </w:t>
      </w:r>
      <w:r w:rsidR="00C17AE6">
        <w:rPr>
          <w:b/>
          <w:bCs/>
          <w:iCs/>
        </w:rPr>
        <w:t>6</w:t>
      </w:r>
      <w:r w:rsidRPr="00254897">
        <w:rPr>
          <w:b/>
          <w:bCs/>
          <w:iCs/>
        </w:rPr>
        <w:t xml:space="preserve">: </w:t>
      </w:r>
      <w:r w:rsidR="00C17AE6">
        <w:rPr>
          <w:b/>
          <w:bCs/>
          <w:iCs/>
        </w:rPr>
        <w:t xml:space="preserve">RAN2 can study how to reduce end-to-end latency </w:t>
      </w:r>
      <w:r w:rsidR="00772AAB">
        <w:rPr>
          <w:b/>
          <w:bCs/>
          <w:iCs/>
        </w:rPr>
        <w:t>via</w:t>
      </w:r>
      <w:r w:rsidR="00C17AE6">
        <w:rPr>
          <w:b/>
          <w:bCs/>
          <w:iCs/>
        </w:rPr>
        <w:t xml:space="preserve"> user plane enhancements that </w:t>
      </w:r>
      <w:r w:rsidR="00772AAB">
        <w:rPr>
          <w:b/>
          <w:bCs/>
          <w:iCs/>
        </w:rPr>
        <w:t>can cope with</w:t>
      </w:r>
      <w:r w:rsidR="00C17AE6">
        <w:rPr>
          <w:b/>
          <w:bCs/>
          <w:iCs/>
        </w:rPr>
        <w:t xml:space="preserve"> jitter of tethering link </w:t>
      </w:r>
      <w:r w:rsidR="00772AAB">
        <w:rPr>
          <w:b/>
          <w:bCs/>
          <w:iCs/>
        </w:rPr>
        <w:t>in a more dynamic fashion</w:t>
      </w:r>
      <w:r w:rsidR="00C17AE6">
        <w:rPr>
          <w:b/>
          <w:bCs/>
          <w:iCs/>
        </w:rPr>
        <w:t>.</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67626192" w14:textId="28D7AD2A" w:rsidR="00075A63" w:rsidRDefault="00D231B4" w:rsidP="00C17AE6">
      <w:pPr>
        <w:jc w:val="both"/>
        <w:rPr>
          <w:iCs/>
          <w:lang w:val="en-US"/>
        </w:rPr>
      </w:pPr>
      <w:r>
        <w:rPr>
          <w:iCs/>
          <w:lang w:val="en-US"/>
        </w:rPr>
        <w:t>T</w:t>
      </w:r>
      <w:r w:rsidR="00E90DEF">
        <w:rPr>
          <w:iCs/>
          <w:lang w:val="en-US"/>
        </w:rPr>
        <w:t xml:space="preserve">his </w:t>
      </w:r>
      <w:r w:rsidR="00D5426C">
        <w:rPr>
          <w:iCs/>
          <w:lang w:val="en-US"/>
        </w:rPr>
        <w:t>contribution</w:t>
      </w:r>
      <w:r>
        <w:rPr>
          <w:iCs/>
          <w:lang w:val="en-US"/>
        </w:rPr>
        <w:t xml:space="preserve"> </w:t>
      </w:r>
      <w:r w:rsidR="0056249B">
        <w:rPr>
          <w:iCs/>
          <w:lang w:val="en-US"/>
        </w:rPr>
        <w:t>presented some of our opinions on 6GR L2 functions, and we have the following proposals:</w:t>
      </w:r>
    </w:p>
    <w:p w14:paraId="2AFF6A9C" w14:textId="77777777" w:rsidR="0056249B" w:rsidRDefault="0056249B" w:rsidP="0056249B">
      <w:pPr>
        <w:jc w:val="both"/>
        <w:rPr>
          <w:b/>
          <w:bCs/>
          <w:iCs/>
        </w:rPr>
      </w:pPr>
      <w:r w:rsidRPr="00254897">
        <w:rPr>
          <w:b/>
          <w:bCs/>
          <w:iCs/>
        </w:rPr>
        <w:t xml:space="preserve">Proposal 1: </w:t>
      </w:r>
      <w:r>
        <w:rPr>
          <w:b/>
          <w:bCs/>
          <w:iCs/>
        </w:rPr>
        <w:t>6GR does not need to support Reflective QoS. RAN2 can study other more efficient mechanisms to enable DRB remapping if there is a need.</w:t>
      </w:r>
    </w:p>
    <w:p w14:paraId="4FF36705" w14:textId="77777777" w:rsidR="003B4351" w:rsidRDefault="003B4351" w:rsidP="003B4351">
      <w:pPr>
        <w:jc w:val="both"/>
        <w:rPr>
          <w:b/>
          <w:bCs/>
          <w:iCs/>
        </w:rPr>
      </w:pPr>
      <w:r w:rsidRPr="00254897">
        <w:rPr>
          <w:b/>
          <w:bCs/>
          <w:iCs/>
        </w:rPr>
        <w:t xml:space="preserve">Proposal </w:t>
      </w:r>
      <w:r>
        <w:rPr>
          <w:b/>
          <w:bCs/>
          <w:iCs/>
        </w:rPr>
        <w:t>2</w:t>
      </w:r>
      <w:r w:rsidRPr="00254897">
        <w:rPr>
          <w:b/>
          <w:bCs/>
          <w:iCs/>
        </w:rPr>
        <w:t xml:space="preserve">: </w:t>
      </w:r>
      <w:r>
        <w:rPr>
          <w:b/>
          <w:bCs/>
          <w:iCs/>
        </w:rPr>
        <w:t>RAN2 can further discuss if packet duplication should be employed to meet the latency/reliability requirement of certain 6G use cases.</w:t>
      </w:r>
    </w:p>
    <w:p w14:paraId="7D08682F" w14:textId="77777777" w:rsidR="0056249B" w:rsidRDefault="0056249B" w:rsidP="0056249B">
      <w:pPr>
        <w:jc w:val="both"/>
        <w:rPr>
          <w:b/>
          <w:bCs/>
          <w:iCs/>
        </w:rPr>
      </w:pPr>
      <w:r w:rsidRPr="00254897">
        <w:rPr>
          <w:b/>
          <w:bCs/>
          <w:iCs/>
        </w:rPr>
        <w:t xml:space="preserve">Proposal </w:t>
      </w:r>
      <w:r>
        <w:rPr>
          <w:b/>
          <w:bCs/>
          <w:iCs/>
        </w:rPr>
        <w:t>3</w:t>
      </w:r>
      <w:r w:rsidRPr="00254897">
        <w:rPr>
          <w:b/>
          <w:bCs/>
          <w:iCs/>
        </w:rPr>
        <w:t xml:space="preserve">: </w:t>
      </w:r>
      <w:r>
        <w:rPr>
          <w:b/>
          <w:bCs/>
          <w:iCs/>
        </w:rPr>
        <w:t>RAN2 can de-prioritize the discussions about whether PDU Set handling is supported in 6GR, until more progress is made by SA2/SA4.</w:t>
      </w:r>
    </w:p>
    <w:p w14:paraId="614994A6" w14:textId="77777777" w:rsidR="0056249B" w:rsidRDefault="0056249B" w:rsidP="0056249B">
      <w:pPr>
        <w:jc w:val="both"/>
        <w:rPr>
          <w:b/>
          <w:bCs/>
          <w:iCs/>
        </w:rPr>
      </w:pPr>
      <w:r w:rsidRPr="00254897">
        <w:rPr>
          <w:b/>
          <w:bCs/>
          <w:iCs/>
        </w:rPr>
        <w:t xml:space="preserve">Proposal </w:t>
      </w:r>
      <w:r>
        <w:rPr>
          <w:b/>
          <w:bCs/>
          <w:iCs/>
        </w:rPr>
        <w:t>4</w:t>
      </w:r>
      <w:r w:rsidRPr="00254897">
        <w:rPr>
          <w:b/>
          <w:bCs/>
          <w:iCs/>
        </w:rPr>
        <w:t xml:space="preserve">: </w:t>
      </w:r>
      <w:r>
        <w:rPr>
          <w:b/>
          <w:bCs/>
          <w:iCs/>
        </w:rPr>
        <w:t>6GR does not need to support intra-UE prioritization.</w:t>
      </w:r>
    </w:p>
    <w:p w14:paraId="00D9DD0D" w14:textId="77777777" w:rsidR="00C8165B" w:rsidRDefault="00C8165B" w:rsidP="00C8165B">
      <w:pPr>
        <w:jc w:val="both"/>
        <w:rPr>
          <w:b/>
          <w:bCs/>
          <w:iCs/>
        </w:rPr>
      </w:pPr>
      <w:r w:rsidRPr="00254897">
        <w:rPr>
          <w:b/>
          <w:bCs/>
          <w:iCs/>
        </w:rPr>
        <w:t xml:space="preserve">Proposal </w:t>
      </w:r>
      <w:r>
        <w:rPr>
          <w:b/>
          <w:bCs/>
          <w:iCs/>
        </w:rPr>
        <w:t>5</w:t>
      </w:r>
      <w:r w:rsidRPr="00254897">
        <w:rPr>
          <w:b/>
          <w:bCs/>
          <w:iCs/>
        </w:rPr>
        <w:t xml:space="preserve">: </w:t>
      </w:r>
      <w:r>
        <w:rPr>
          <w:b/>
          <w:bCs/>
          <w:iCs/>
        </w:rPr>
        <w:t>With single sequence number (SN), RAN2 can study if L2 retransmission mechanisms of PDCP and RLC should be merged.</w:t>
      </w:r>
    </w:p>
    <w:p w14:paraId="0813D23C" w14:textId="77777777" w:rsidR="0056249B" w:rsidRDefault="0056249B" w:rsidP="0056249B">
      <w:pPr>
        <w:jc w:val="both"/>
        <w:rPr>
          <w:b/>
          <w:bCs/>
          <w:iCs/>
        </w:rPr>
      </w:pPr>
      <w:r w:rsidRPr="00254897">
        <w:rPr>
          <w:b/>
          <w:bCs/>
          <w:iCs/>
        </w:rPr>
        <w:t xml:space="preserve">Proposal </w:t>
      </w:r>
      <w:r>
        <w:rPr>
          <w:b/>
          <w:bCs/>
          <w:iCs/>
        </w:rPr>
        <w:t>6</w:t>
      </w:r>
      <w:r w:rsidRPr="00254897">
        <w:rPr>
          <w:b/>
          <w:bCs/>
          <w:iCs/>
        </w:rPr>
        <w:t xml:space="preserve">: </w:t>
      </w:r>
      <w:r>
        <w:rPr>
          <w:b/>
          <w:bCs/>
          <w:iCs/>
        </w:rPr>
        <w:t>RAN2 can study how to reduce end-to-end latency via user plane enhancements that can cope with jitter of tethering link in a more dynamic fashion.</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7A541C05" w:rsidR="000C024B" w:rsidRDefault="000C024B" w:rsidP="00265356">
      <w:pPr>
        <w:rPr>
          <w:lang w:eastAsia="zh-CN"/>
        </w:rPr>
      </w:pPr>
      <w:r w:rsidRPr="0084396F">
        <w:rPr>
          <w:lang w:eastAsia="zh-CN"/>
        </w:rPr>
        <w:t xml:space="preserve">[1] </w:t>
      </w:r>
      <w:r w:rsidR="001B3EFB">
        <w:rPr>
          <w:lang w:eastAsia="zh-CN"/>
        </w:rPr>
        <w:t>RAN2 #13</w:t>
      </w:r>
      <w:r w:rsidR="003B4351">
        <w:rPr>
          <w:lang w:eastAsia="zh-CN"/>
        </w:rPr>
        <w:t>2</w:t>
      </w:r>
      <w:r w:rsidR="001B3EFB">
        <w:rPr>
          <w:lang w:eastAsia="zh-CN"/>
        </w:rPr>
        <w:t xml:space="preserve"> Chair’s Notes, </w:t>
      </w:r>
      <w:r w:rsidR="003B4351">
        <w:rPr>
          <w:lang w:eastAsia="zh-CN"/>
        </w:rPr>
        <w:t xml:space="preserve">November </w:t>
      </w:r>
      <w:r w:rsidR="001B3EFB">
        <w:rPr>
          <w:lang w:eastAsia="zh-CN"/>
        </w:rPr>
        <w:t>2025.</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41F9" w14:textId="77777777" w:rsidR="009827B4" w:rsidRDefault="009827B4">
      <w:r>
        <w:separator/>
      </w:r>
    </w:p>
  </w:endnote>
  <w:endnote w:type="continuationSeparator" w:id="0">
    <w:p w14:paraId="2284442A" w14:textId="77777777" w:rsidR="009827B4" w:rsidRDefault="009827B4">
      <w:r>
        <w:continuationSeparator/>
      </w:r>
    </w:p>
  </w:endnote>
  <w:endnote w:type="continuationNotice" w:id="1">
    <w:p w14:paraId="40071A00" w14:textId="77777777" w:rsidR="009827B4" w:rsidRDefault="00982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8025A" w14:textId="77777777" w:rsidR="009827B4" w:rsidRDefault="009827B4">
      <w:r>
        <w:separator/>
      </w:r>
    </w:p>
  </w:footnote>
  <w:footnote w:type="continuationSeparator" w:id="0">
    <w:p w14:paraId="1EC4AA04" w14:textId="77777777" w:rsidR="009827B4" w:rsidRDefault="009827B4">
      <w:r>
        <w:continuationSeparator/>
      </w:r>
    </w:p>
  </w:footnote>
  <w:footnote w:type="continuationNotice" w:id="1">
    <w:p w14:paraId="1D4EB78D" w14:textId="77777777" w:rsidR="009827B4" w:rsidRDefault="009827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A078C1"/>
    <w:multiLevelType w:val="hybridMultilevel"/>
    <w:tmpl w:val="CD68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9"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3"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1"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3"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9"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2"/>
  </w:num>
  <w:num w:numId="2" w16cid:durableId="1464886471">
    <w:abstractNumId w:val="0"/>
  </w:num>
  <w:num w:numId="3" w16cid:durableId="6106756">
    <w:abstractNumId w:val="1"/>
  </w:num>
  <w:num w:numId="4" w16cid:durableId="9181927">
    <w:abstractNumId w:val="2"/>
  </w:num>
  <w:num w:numId="5" w16cid:durableId="189296478">
    <w:abstractNumId w:val="106"/>
  </w:num>
  <w:num w:numId="6" w16cid:durableId="216478951">
    <w:abstractNumId w:val="3"/>
  </w:num>
  <w:num w:numId="7" w16cid:durableId="2145732921">
    <w:abstractNumId w:val="4"/>
  </w:num>
  <w:num w:numId="8" w16cid:durableId="910503920">
    <w:abstractNumId w:val="37"/>
  </w:num>
  <w:num w:numId="9" w16cid:durableId="418721023">
    <w:abstractNumId w:val="89"/>
  </w:num>
  <w:num w:numId="10" w16cid:durableId="701636600">
    <w:abstractNumId w:val="66"/>
  </w:num>
  <w:num w:numId="11" w16cid:durableId="1130325448">
    <w:abstractNumId w:val="23"/>
  </w:num>
  <w:num w:numId="12" w16cid:durableId="1997687803">
    <w:abstractNumId w:val="60"/>
  </w:num>
  <w:num w:numId="13" w16cid:durableId="1749767913">
    <w:abstractNumId w:val="96"/>
  </w:num>
  <w:num w:numId="14" w16cid:durableId="1287271592">
    <w:abstractNumId w:val="7"/>
  </w:num>
  <w:num w:numId="15" w16cid:durableId="1065492308">
    <w:abstractNumId w:val="18"/>
  </w:num>
  <w:num w:numId="16" w16cid:durableId="1691565340">
    <w:abstractNumId w:val="51"/>
  </w:num>
  <w:num w:numId="17" w16cid:durableId="1527668550">
    <w:abstractNumId w:val="26"/>
  </w:num>
  <w:num w:numId="18" w16cid:durableId="113863268">
    <w:abstractNumId w:val="13"/>
  </w:num>
  <w:num w:numId="19" w16cid:durableId="659583198">
    <w:abstractNumId w:val="72"/>
  </w:num>
  <w:num w:numId="20" w16cid:durableId="1308317274">
    <w:abstractNumId w:val="46"/>
  </w:num>
  <w:num w:numId="21" w16cid:durableId="1576550474">
    <w:abstractNumId w:val="31"/>
  </w:num>
  <w:num w:numId="22" w16cid:durableId="235358636">
    <w:abstractNumId w:val="48"/>
  </w:num>
  <w:num w:numId="23" w16cid:durableId="97602813">
    <w:abstractNumId w:val="85"/>
  </w:num>
  <w:num w:numId="24" w16cid:durableId="710617151">
    <w:abstractNumId w:val="88"/>
  </w:num>
  <w:num w:numId="25" w16cid:durableId="1384014814">
    <w:abstractNumId w:val="47"/>
  </w:num>
  <w:num w:numId="26" w16cid:durableId="912855578">
    <w:abstractNumId w:val="6"/>
  </w:num>
  <w:num w:numId="27" w16cid:durableId="1431848407">
    <w:abstractNumId w:val="91"/>
  </w:num>
  <w:num w:numId="28" w16cid:durableId="1499610725">
    <w:abstractNumId w:val="8"/>
  </w:num>
  <w:num w:numId="29" w16cid:durableId="1731878760">
    <w:abstractNumId w:val="83"/>
  </w:num>
  <w:num w:numId="30" w16cid:durableId="1642735486">
    <w:abstractNumId w:val="65"/>
  </w:num>
  <w:num w:numId="31" w16cid:durableId="49812754">
    <w:abstractNumId w:val="25"/>
  </w:num>
  <w:num w:numId="32" w16cid:durableId="1123622218">
    <w:abstractNumId w:val="84"/>
  </w:num>
  <w:num w:numId="33" w16cid:durableId="1913348842">
    <w:abstractNumId w:val="98"/>
  </w:num>
  <w:num w:numId="34" w16cid:durableId="616252452">
    <w:abstractNumId w:val="79"/>
  </w:num>
  <w:num w:numId="35" w16cid:durableId="1878852805">
    <w:abstractNumId w:val="54"/>
  </w:num>
  <w:num w:numId="36" w16cid:durableId="486896589">
    <w:abstractNumId w:val="62"/>
  </w:num>
  <w:num w:numId="37" w16cid:durableId="279000458">
    <w:abstractNumId w:val="52"/>
  </w:num>
  <w:num w:numId="38" w16cid:durableId="2066174909">
    <w:abstractNumId w:val="95"/>
  </w:num>
  <w:num w:numId="39" w16cid:durableId="1625572420">
    <w:abstractNumId w:val="42"/>
  </w:num>
  <w:num w:numId="40" w16cid:durableId="194776442">
    <w:abstractNumId w:val="104"/>
  </w:num>
  <w:num w:numId="41" w16cid:durableId="1049039292">
    <w:abstractNumId w:val="9"/>
  </w:num>
  <w:num w:numId="42" w16cid:durableId="1748335123">
    <w:abstractNumId w:val="107"/>
  </w:num>
  <w:num w:numId="43" w16cid:durableId="324863305">
    <w:abstractNumId w:val="105"/>
  </w:num>
  <w:num w:numId="44" w16cid:durableId="87776830">
    <w:abstractNumId w:val="57"/>
  </w:num>
  <w:num w:numId="45" w16cid:durableId="116878813">
    <w:abstractNumId w:val="5"/>
  </w:num>
  <w:num w:numId="46" w16cid:durableId="1556234868">
    <w:abstractNumId w:val="33"/>
  </w:num>
  <w:num w:numId="47" w16cid:durableId="1344823590">
    <w:abstractNumId w:val="68"/>
  </w:num>
  <w:num w:numId="48" w16cid:durableId="49882736">
    <w:abstractNumId w:val="59"/>
  </w:num>
  <w:num w:numId="49" w16cid:durableId="749424918">
    <w:abstractNumId w:val="109"/>
  </w:num>
  <w:num w:numId="50" w16cid:durableId="351305233">
    <w:abstractNumId w:val="41"/>
  </w:num>
  <w:num w:numId="51" w16cid:durableId="2141918983">
    <w:abstractNumId w:val="27"/>
  </w:num>
  <w:num w:numId="52" w16cid:durableId="2018117002">
    <w:abstractNumId w:val="35"/>
  </w:num>
  <w:num w:numId="53" w16cid:durableId="291324115">
    <w:abstractNumId w:val="75"/>
  </w:num>
  <w:num w:numId="54" w16cid:durableId="1799448085">
    <w:abstractNumId w:val="100"/>
  </w:num>
  <w:num w:numId="55" w16cid:durableId="463668016">
    <w:abstractNumId w:val="90"/>
  </w:num>
  <w:num w:numId="56" w16cid:durableId="1997105538">
    <w:abstractNumId w:val="64"/>
  </w:num>
  <w:num w:numId="57" w16cid:durableId="965549377">
    <w:abstractNumId w:val="103"/>
  </w:num>
  <w:num w:numId="58" w16cid:durableId="38669279">
    <w:abstractNumId w:val="19"/>
  </w:num>
  <w:num w:numId="59" w16cid:durableId="1349714082">
    <w:abstractNumId w:val="80"/>
  </w:num>
  <w:num w:numId="60" w16cid:durableId="735905483">
    <w:abstractNumId w:val="77"/>
  </w:num>
  <w:num w:numId="61" w16cid:durableId="749082821">
    <w:abstractNumId w:val="53"/>
  </w:num>
  <w:num w:numId="62" w16cid:durableId="1025012730">
    <w:abstractNumId w:val="10"/>
  </w:num>
  <w:num w:numId="63" w16cid:durableId="1496607560">
    <w:abstractNumId w:val="58"/>
  </w:num>
  <w:num w:numId="64" w16cid:durableId="1776901223">
    <w:abstractNumId w:val="49"/>
  </w:num>
  <w:num w:numId="65" w16cid:durableId="284581932">
    <w:abstractNumId w:val="74"/>
  </w:num>
  <w:num w:numId="66" w16cid:durableId="367027988">
    <w:abstractNumId w:val="71"/>
  </w:num>
  <w:num w:numId="67" w16cid:durableId="1409307424">
    <w:abstractNumId w:val="20"/>
  </w:num>
  <w:num w:numId="68" w16cid:durableId="1999528796">
    <w:abstractNumId w:val="11"/>
  </w:num>
  <w:num w:numId="69" w16cid:durableId="1645889120">
    <w:abstractNumId w:val="40"/>
  </w:num>
  <w:num w:numId="70" w16cid:durableId="1767649369">
    <w:abstractNumId w:val="15"/>
  </w:num>
  <w:num w:numId="71" w16cid:durableId="818034850">
    <w:abstractNumId w:val="14"/>
  </w:num>
  <w:num w:numId="72" w16cid:durableId="1330791886">
    <w:abstractNumId w:val="45"/>
  </w:num>
  <w:num w:numId="73" w16cid:durableId="1603295543">
    <w:abstractNumId w:val="22"/>
  </w:num>
  <w:num w:numId="74" w16cid:durableId="1568303498">
    <w:abstractNumId w:val="38"/>
  </w:num>
  <w:num w:numId="75" w16cid:durableId="107507505">
    <w:abstractNumId w:val="94"/>
  </w:num>
  <w:num w:numId="76" w16cid:durableId="1314330107">
    <w:abstractNumId w:val="101"/>
  </w:num>
  <w:num w:numId="77" w16cid:durableId="1278179100">
    <w:abstractNumId w:val="61"/>
  </w:num>
  <w:num w:numId="78" w16cid:durableId="1475440592">
    <w:abstractNumId w:val="73"/>
  </w:num>
  <w:num w:numId="79" w16cid:durableId="572588627">
    <w:abstractNumId w:val="92"/>
  </w:num>
  <w:num w:numId="80" w16cid:durableId="1603494346">
    <w:abstractNumId w:val="78"/>
  </w:num>
  <w:num w:numId="81" w16cid:durableId="437483292">
    <w:abstractNumId w:val="56"/>
  </w:num>
  <w:num w:numId="82" w16cid:durableId="315570348">
    <w:abstractNumId w:val="86"/>
  </w:num>
  <w:num w:numId="83" w16cid:durableId="1655446843">
    <w:abstractNumId w:val="24"/>
  </w:num>
  <w:num w:numId="84" w16cid:durableId="266356922">
    <w:abstractNumId w:val="63"/>
  </w:num>
  <w:num w:numId="85" w16cid:durableId="50422451">
    <w:abstractNumId w:val="55"/>
  </w:num>
  <w:num w:numId="86" w16cid:durableId="2121677641">
    <w:abstractNumId w:val="16"/>
  </w:num>
  <w:num w:numId="87" w16cid:durableId="1392994229">
    <w:abstractNumId w:val="69"/>
  </w:num>
  <w:num w:numId="88" w16cid:durableId="326708783">
    <w:abstractNumId w:val="99"/>
  </w:num>
  <w:num w:numId="89" w16cid:durableId="1268467111">
    <w:abstractNumId w:val="81"/>
  </w:num>
  <w:num w:numId="90" w16cid:durableId="1454900793">
    <w:abstractNumId w:val="97"/>
  </w:num>
  <w:num w:numId="91" w16cid:durableId="658921337">
    <w:abstractNumId w:val="32"/>
  </w:num>
  <w:num w:numId="92" w16cid:durableId="694233541">
    <w:abstractNumId w:val="39"/>
  </w:num>
  <w:num w:numId="93" w16cid:durableId="467861953">
    <w:abstractNumId w:val="21"/>
  </w:num>
  <w:num w:numId="94" w16cid:durableId="493423518">
    <w:abstractNumId w:val="29"/>
  </w:num>
  <w:num w:numId="95" w16cid:durableId="1773739914">
    <w:abstractNumId w:val="36"/>
  </w:num>
  <w:num w:numId="96" w16cid:durableId="1975911002">
    <w:abstractNumId w:val="82"/>
  </w:num>
  <w:num w:numId="97" w16cid:durableId="908347982">
    <w:abstractNumId w:val="76"/>
  </w:num>
  <w:num w:numId="98" w16cid:durableId="901209985">
    <w:abstractNumId w:val="43"/>
  </w:num>
  <w:num w:numId="99" w16cid:durableId="1291591245">
    <w:abstractNumId w:val="44"/>
  </w:num>
  <w:num w:numId="100" w16cid:durableId="1258097345">
    <w:abstractNumId w:val="50"/>
  </w:num>
  <w:num w:numId="101" w16cid:durableId="353964978">
    <w:abstractNumId w:val="67"/>
  </w:num>
  <w:num w:numId="102" w16cid:durableId="195167108">
    <w:abstractNumId w:val="12"/>
  </w:num>
  <w:num w:numId="103" w16cid:durableId="2009556771">
    <w:abstractNumId w:val="108"/>
  </w:num>
  <w:num w:numId="104" w16cid:durableId="1658415728">
    <w:abstractNumId w:val="28"/>
  </w:num>
  <w:num w:numId="105" w16cid:durableId="821888181">
    <w:abstractNumId w:val="70"/>
  </w:num>
  <w:num w:numId="106" w16cid:durableId="877666121">
    <w:abstractNumId w:val="93"/>
  </w:num>
  <w:num w:numId="107" w16cid:durableId="498424604">
    <w:abstractNumId w:val="30"/>
  </w:num>
  <w:num w:numId="108" w16cid:durableId="1758331206">
    <w:abstractNumId w:val="110"/>
  </w:num>
  <w:num w:numId="109" w16cid:durableId="538857215">
    <w:abstractNumId w:val="87"/>
  </w:num>
  <w:num w:numId="110" w16cid:durableId="19672550">
    <w:abstractNumId w:val="34"/>
  </w:num>
  <w:num w:numId="111" w16cid:durableId="2806514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0DBF"/>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42"/>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2BA"/>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4CE"/>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4351"/>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8B"/>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076"/>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49B"/>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09E5"/>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1E45"/>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0718"/>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88F"/>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2AAB"/>
    <w:rsid w:val="00773812"/>
    <w:rsid w:val="00774107"/>
    <w:rsid w:val="0077411C"/>
    <w:rsid w:val="007742A0"/>
    <w:rsid w:val="00774F40"/>
    <w:rsid w:val="007750CA"/>
    <w:rsid w:val="00775BA4"/>
    <w:rsid w:val="00775C8F"/>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0563"/>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12D"/>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7B4"/>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1C36"/>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6D63"/>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17AE6"/>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5B"/>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6EE"/>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1984</TotalTime>
  <Pages>4</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103</cp:revision>
  <dcterms:created xsi:type="dcterms:W3CDTF">2025-03-14T16:06:00Z</dcterms:created>
  <dcterms:modified xsi:type="dcterms:W3CDTF">2026-01-29T11:57:00Z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